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DB43E" w14:textId="20B99209" w:rsidR="00C134CD" w:rsidRDefault="005C1271">
      <w:pPr>
        <w:ind w:left="-360"/>
        <w:rPr>
          <w:rFonts w:cstheme="minorBidi"/>
          <w:color w:val="auto"/>
          <w:kern w:val="0"/>
          <w:sz w:val="24"/>
          <w:szCs w:val="24"/>
        </w:rPr>
      </w:pPr>
      <w:r>
        <w:rPr>
          <w:rFonts w:ascii="Times New Roman" w:hAnsi="Times New Roman"/>
          <w:color w:val="auto"/>
          <w:kern w:val="0"/>
          <w:sz w:val="24"/>
          <w:szCs w:val="24"/>
        </w:rPr>
        <w:pict w14:anchorId="1AF0BE19">
          <v:rect id="_x0000_s1026" style="position:absolute;left:0;text-align:left;margin-left:-13.8pt;margin-top:3.4pt;width:121.65pt;height:115.9pt;z-index:251658240;mso-wrap-distance-left:2.88pt;mso-wrap-distance-top:2.88pt;mso-wrap-distance-right:2.88pt;mso-wrap-distance-bottom:2.88pt" o:preferrelative="t" filled="f" fillcolor="#1f497d" stroked="f" strokeweight="2pt" o:cliptowrap="t">
            <v:imagedata r:id="rId5" o:title="ShowImage[1]"/>
            <v:shadow color="black"/>
            <o:extrusion v:ext="view" backdepth="0" viewpoint="0,0" viewpointorigin="0,0"/>
            <o:lock v:ext="edit" aspectratio="t"/>
          </v:rect>
        </w:pict>
      </w:r>
    </w:p>
    <w:p w14:paraId="2A9FC3AF" w14:textId="03EB019B" w:rsidR="00317514" w:rsidRDefault="005C1271">
      <w:pPr>
        <w:ind w:left="-360"/>
        <w:rPr>
          <w:rFonts w:cstheme="minorBidi"/>
          <w:color w:val="auto"/>
          <w:kern w:val="0"/>
          <w:sz w:val="24"/>
          <w:szCs w:val="24"/>
        </w:rPr>
      </w:pPr>
      <w:r>
        <w:rPr>
          <w:rFonts w:ascii="Times New Roman" w:hAnsi="Times New Roman"/>
          <w:color w:val="auto"/>
          <w:kern w:val="0"/>
          <w:sz w:val="24"/>
          <w:szCs w:val="24"/>
        </w:rPr>
        <w:pict w14:anchorId="5FBDEC5B">
          <v:shapetype id="_x0000_t202" coordsize="21600,21600" o:spt="202" path="m,l,21600r21600,l21600,xe">
            <v:stroke joinstyle="miter"/>
            <v:path gradientshapeok="t" o:connecttype="rect"/>
          </v:shapetype>
          <v:shape id="_x0000_s1027" type="#_x0000_t202" style="position:absolute;left:0;text-align:left;margin-left:94.6pt;margin-top:2.6pt;width:436.75pt;height:75.7pt;z-index:251660288;mso-wrap-distance-left:2.88pt;mso-wrap-distance-top:2.88pt;mso-wrap-distance-right:2.88pt;mso-wrap-distance-bottom:2.88pt" filled="f" fillcolor="#d9d9d9" stroked="f" insetpen="t" o:cliptowrap="t">
            <v:stroke>
              <o:left v:ext="view" joinstyle="miter" insetpen="t"/>
              <o:top v:ext="view" joinstyle="miter" insetpen="t"/>
              <o:right v:ext="view" joinstyle="miter" insetpen="t"/>
              <o:bottom v:ext="view" joinstyle="miter" insetpen="t"/>
            </v:stroke>
            <v:shadow color="#eeece1"/>
            <v:textbox style="mso-column-margin:5.76pt" inset="2.88pt,2.88pt,2.88pt,2.88pt">
              <w:txbxContent>
                <w:p w14:paraId="14214C88" w14:textId="77777777" w:rsidR="00317514" w:rsidRDefault="00317514" w:rsidP="00317514">
                  <w:pPr>
                    <w:jc w:val="center"/>
                    <w:rPr>
                      <w:b/>
                      <w:bCs/>
                      <w:sz w:val="36"/>
                      <w:szCs w:val="36"/>
                    </w:rPr>
                  </w:pPr>
                  <w:r>
                    <w:rPr>
                      <w:b/>
                      <w:bCs/>
                      <w:sz w:val="36"/>
                      <w:szCs w:val="36"/>
                    </w:rPr>
                    <w:t>The City of Tempe is seeking a</w:t>
                  </w:r>
                  <w:r>
                    <w:rPr>
                      <w:b/>
                      <w:bCs/>
                      <w:sz w:val="36"/>
                      <w:szCs w:val="36"/>
                    </w:rPr>
                    <w:br/>
                    <w:t xml:space="preserve">Controller </w:t>
                  </w:r>
                </w:p>
                <w:p w14:paraId="5C81BF57" w14:textId="77777777" w:rsidR="00317514" w:rsidRDefault="00317514" w:rsidP="00317514">
                  <w:pPr>
                    <w:jc w:val="center"/>
                    <w:rPr>
                      <w:rFonts w:ascii="Arial Rounded MT Bold" w:hAnsi="Arial Rounded MT Bold"/>
                      <w:sz w:val="36"/>
                      <w:szCs w:val="36"/>
                    </w:rPr>
                  </w:pPr>
                  <w:r>
                    <w:rPr>
                      <w:rFonts w:ascii="Arial Rounded MT Bold" w:hAnsi="Arial Rounded MT Bold"/>
                      <w:sz w:val="36"/>
                      <w:szCs w:val="36"/>
                    </w:rPr>
                    <w:t> </w:t>
                  </w:r>
                </w:p>
              </w:txbxContent>
            </v:textbox>
          </v:shape>
        </w:pict>
      </w:r>
    </w:p>
    <w:p w14:paraId="28744520" w14:textId="031DAD66" w:rsidR="00317514" w:rsidRDefault="00317514">
      <w:pPr>
        <w:ind w:left="-360"/>
        <w:rPr>
          <w:rFonts w:cstheme="minorBidi"/>
          <w:color w:val="auto"/>
          <w:kern w:val="0"/>
          <w:sz w:val="24"/>
          <w:szCs w:val="24"/>
        </w:rPr>
      </w:pPr>
    </w:p>
    <w:p w14:paraId="2426E611" w14:textId="69A93700" w:rsidR="00317514" w:rsidRDefault="005C1271">
      <w:pPr>
        <w:ind w:left="-360"/>
        <w:rPr>
          <w:rFonts w:cstheme="minorBidi"/>
          <w:color w:val="auto"/>
          <w:kern w:val="0"/>
          <w:sz w:val="24"/>
          <w:szCs w:val="24"/>
        </w:rPr>
      </w:pPr>
      <w:r>
        <w:rPr>
          <w:rFonts w:ascii="Times New Roman" w:hAnsi="Times New Roman"/>
          <w:color w:val="auto"/>
          <w:kern w:val="0"/>
          <w:sz w:val="24"/>
          <w:szCs w:val="24"/>
        </w:rPr>
        <w:pict w14:anchorId="1D010159">
          <v:group id="_x0000_s1028" style="position:absolute;left:0;text-align:left;margin-left:129.3pt;margin-top:8.05pt;width:386.75pt;height:32.95pt;z-index:251662336" coordorigin="10670,10634" coordsize="692,48">
            <v:shape id="_x0000_s1029" type="#_x0000_t202" style="position:absolute;left:10681;top:10634;width:669;height:48;mso-wrap-distance-left:2.88pt;mso-wrap-distance-top:2.88pt;mso-wrap-distance-right:2.88pt;mso-wrap-distance-bottom:2.88pt" fillcolor="#00b0f0" stroked="f" insetpen="t" o:cliptowrap="t">
              <v:stroke>
                <o:left v:ext="view" joinstyle="miter" insetpen="t"/>
                <o:top v:ext="view" joinstyle="miter" insetpen="t"/>
                <o:right v:ext="view" joinstyle="miter" insetpen="t"/>
                <o:bottom v:ext="view" joinstyle="miter" insetpen="t"/>
              </v:stroke>
              <v:shadow color="#eeece1"/>
              <v:textbox style="mso-column-margin:5.76pt" inset="2.88pt,2.88pt,2.88pt,2.88pt">
                <w:txbxContent>
                  <w:p w14:paraId="4A9D6443" w14:textId="77777777" w:rsidR="00317514" w:rsidRDefault="00317514" w:rsidP="00317514"/>
                </w:txbxContent>
              </v:textbox>
            </v:shape>
            <v:shape id="_x0000_s1030" type="#_x0000_t202" style="position:absolute;left:10670;top:10638;width:692;height:37;mso-wrap-distance-left:2.88pt;mso-wrap-distance-top:2.88pt;mso-wrap-distance-right:2.88pt;mso-wrap-distance-bottom:2.88pt" fillcolor="#27415f" stroked="f" insetpen="t" o:cliptowrap="t">
              <v:stroke>
                <o:left v:ext="view" joinstyle="miter" insetpen="t"/>
                <o:top v:ext="view" joinstyle="miter" insetpen="t"/>
                <o:right v:ext="view" joinstyle="miter" insetpen="t"/>
                <o:bottom v:ext="view" joinstyle="miter" insetpen="t"/>
              </v:stroke>
              <v:shadow color="#eeece1"/>
              <v:textbox style="mso-column-margin:5.76pt" inset="2.88pt,2.88pt,2.88pt,2.88pt">
                <w:txbxContent>
                  <w:p w14:paraId="3A68081F" w14:textId="77777777" w:rsidR="00317514" w:rsidRPr="00317514" w:rsidRDefault="00317514" w:rsidP="00317514">
                    <w:pPr>
                      <w:jc w:val="center"/>
                      <w:rPr>
                        <w:b/>
                        <w:bCs/>
                        <w:color w:val="FFFFFF"/>
                        <w:sz w:val="28"/>
                        <w:szCs w:val="28"/>
                      </w:rPr>
                    </w:pPr>
                    <w:r w:rsidRPr="00317514">
                      <w:rPr>
                        <w:b/>
                        <w:bCs/>
                        <w:color w:val="FFFFFF"/>
                        <w:sz w:val="28"/>
                        <w:szCs w:val="28"/>
                      </w:rPr>
                      <w:t>$106,073—$143,198</w:t>
                    </w:r>
                  </w:p>
                </w:txbxContent>
              </v:textbox>
            </v:shape>
          </v:group>
        </w:pict>
      </w:r>
    </w:p>
    <w:p w14:paraId="6CDFF219" w14:textId="66579488" w:rsidR="00317514" w:rsidRDefault="00317514">
      <w:pPr>
        <w:ind w:left="-360"/>
        <w:rPr>
          <w:rFonts w:cstheme="minorBidi"/>
          <w:color w:val="auto"/>
          <w:kern w:val="0"/>
          <w:sz w:val="24"/>
          <w:szCs w:val="24"/>
        </w:rPr>
      </w:pPr>
    </w:p>
    <w:p w14:paraId="48EA0218" w14:textId="7EA58789" w:rsidR="00317514" w:rsidRDefault="005C1271">
      <w:pPr>
        <w:ind w:left="-360"/>
        <w:rPr>
          <w:rFonts w:cstheme="minorBidi"/>
          <w:color w:val="auto"/>
          <w:kern w:val="0"/>
          <w:sz w:val="24"/>
          <w:szCs w:val="24"/>
        </w:rPr>
      </w:pPr>
      <w:r>
        <w:rPr>
          <w:rFonts w:ascii="Times New Roman" w:hAnsi="Times New Roman"/>
          <w:b/>
          <w:bCs/>
          <w:color w:val="44546A" w:themeColor="text2"/>
          <w:kern w:val="0"/>
          <w:sz w:val="32"/>
          <w:szCs w:val="32"/>
        </w:rPr>
        <w:pict w14:anchorId="3EB82E30">
          <v:shape id="_x0000_s1055" type="#_x0000_t202" style="position:absolute;left:0;text-align:left;margin-left:.25pt;margin-top:11.6pt;width:501.35pt;height:61.75pt;z-index:251664384;mso-wrap-distance-left:2.88pt;mso-wrap-distance-top:2.88pt;mso-wrap-distance-right:2.88pt;mso-wrap-distance-bottom:2.88pt" fillcolor="#27415f" stroked="f" strokecolor="gray" insetpen="t" o:cliptowrap="t">
            <v:stroke>
              <o:left v:ext="view" color="gray" joinstyle="miter" insetpen="t"/>
              <o:top v:ext="view" color="gray" joinstyle="miter" insetpen="t"/>
              <o:right v:ext="view" color="gray" joinstyle="miter" insetpen="t"/>
              <o:bottom v:ext="view" color="gray" joinstyle="miter" insetpen="t"/>
            </v:stroke>
            <v:shadow color="#eeece1"/>
            <v:textbox style="mso-next-textbox:#_x0000_s1055;mso-column-margin:5.76pt" inset="2.88pt,2.88pt,2.88pt,2.88pt">
              <w:txbxContent>
                <w:p w14:paraId="3AD0BCC8" w14:textId="7E8FC256" w:rsidR="00D03E15" w:rsidRPr="00D03E15" w:rsidRDefault="00D03E15" w:rsidP="00125366">
                  <w:pPr>
                    <w:spacing w:line="240" w:lineRule="auto"/>
                    <w:jc w:val="center"/>
                    <w:rPr>
                      <w:b/>
                      <w:bCs/>
                      <w:color w:val="FFFFFF"/>
                      <w:sz w:val="24"/>
                      <w:szCs w:val="24"/>
                    </w:rPr>
                  </w:pPr>
                  <w:r w:rsidRPr="00D03E15">
                    <w:rPr>
                      <w:b/>
                      <w:bCs/>
                      <w:color w:val="FFFFFF"/>
                      <w:sz w:val="24"/>
                      <w:szCs w:val="24"/>
                    </w:rPr>
                    <w:t>Opening Date</w:t>
                  </w:r>
                  <w:r w:rsidR="00125366">
                    <w:rPr>
                      <w:b/>
                      <w:bCs/>
                      <w:color w:val="FFFFFF"/>
                      <w:sz w:val="24"/>
                      <w:szCs w:val="24"/>
                    </w:rPr>
                    <w:t>:</w:t>
                  </w:r>
                  <w:r w:rsidR="00125366">
                    <w:rPr>
                      <w:b/>
                      <w:bCs/>
                      <w:color w:val="FFFFFF"/>
                      <w:sz w:val="24"/>
                      <w:szCs w:val="24"/>
                    </w:rPr>
                    <w:tab/>
                  </w:r>
                  <w:r w:rsidRPr="00D03E15">
                    <w:rPr>
                      <w:b/>
                      <w:bCs/>
                      <w:color w:val="FFFFFF"/>
                      <w:sz w:val="24"/>
                      <w:szCs w:val="24"/>
                    </w:rPr>
                    <w:t xml:space="preserve"> August 7, 2020</w:t>
                  </w:r>
                </w:p>
                <w:p w14:paraId="74E71A39" w14:textId="6C316457" w:rsidR="00D03E15" w:rsidRPr="00D03E15" w:rsidRDefault="00D03E15" w:rsidP="00125366">
                  <w:pPr>
                    <w:spacing w:line="240" w:lineRule="auto"/>
                    <w:jc w:val="center"/>
                    <w:rPr>
                      <w:color w:val="C0504D"/>
                      <w:sz w:val="24"/>
                      <w:szCs w:val="24"/>
                    </w:rPr>
                  </w:pPr>
                  <w:r w:rsidRPr="00D03E15">
                    <w:rPr>
                      <w:b/>
                      <w:bCs/>
                      <w:color w:val="FFFFFF"/>
                      <w:sz w:val="24"/>
                      <w:szCs w:val="24"/>
                    </w:rPr>
                    <w:t>First Review</w:t>
                  </w:r>
                  <w:r w:rsidR="00125366">
                    <w:rPr>
                      <w:b/>
                      <w:bCs/>
                      <w:color w:val="FFFFFF"/>
                      <w:sz w:val="24"/>
                      <w:szCs w:val="24"/>
                    </w:rPr>
                    <w:t>:</w:t>
                  </w:r>
                  <w:r w:rsidR="00125366">
                    <w:rPr>
                      <w:b/>
                      <w:bCs/>
                      <w:color w:val="FFFFFF"/>
                      <w:sz w:val="24"/>
                      <w:szCs w:val="24"/>
                    </w:rPr>
                    <w:tab/>
                  </w:r>
                  <w:r w:rsidRPr="00D03E15">
                    <w:rPr>
                      <w:b/>
                      <w:bCs/>
                      <w:color w:val="FFFFFF"/>
                      <w:sz w:val="24"/>
                      <w:szCs w:val="24"/>
                    </w:rPr>
                    <w:t>August 28, 2020</w:t>
                  </w:r>
                </w:p>
                <w:p w14:paraId="60E5E72E" w14:textId="77777777" w:rsidR="00D03E15" w:rsidRPr="00D03E15" w:rsidRDefault="00D03E15" w:rsidP="00C87C12">
                  <w:pPr>
                    <w:spacing w:after="0"/>
                    <w:jc w:val="center"/>
                    <w:rPr>
                      <w:b/>
                      <w:bCs/>
                      <w:color w:val="FFFFFF"/>
                      <w:sz w:val="24"/>
                      <w:szCs w:val="24"/>
                    </w:rPr>
                  </w:pPr>
                  <w:r w:rsidRPr="00D03E15">
                    <w:rPr>
                      <w:color w:val="FFFFFF"/>
                      <w:sz w:val="24"/>
                      <w:szCs w:val="24"/>
                    </w:rPr>
                    <w:t>Open until the needs of the City are met. This position may close at any time.</w:t>
                  </w:r>
                </w:p>
              </w:txbxContent>
            </v:textbox>
          </v:shape>
        </w:pict>
      </w:r>
    </w:p>
    <w:p w14:paraId="1926FF6E" w14:textId="0821EB64" w:rsidR="00220EA9" w:rsidRDefault="00220EA9">
      <w:pPr>
        <w:ind w:left="-360"/>
        <w:rPr>
          <w:rFonts w:cstheme="minorBidi"/>
          <w:color w:val="auto"/>
          <w:kern w:val="0"/>
          <w:sz w:val="24"/>
          <w:szCs w:val="24"/>
        </w:rPr>
      </w:pPr>
    </w:p>
    <w:p w14:paraId="1850194C" w14:textId="53E73467" w:rsidR="00220EA9" w:rsidRDefault="00220EA9">
      <w:pPr>
        <w:ind w:left="-360"/>
        <w:rPr>
          <w:rFonts w:cstheme="minorBidi"/>
          <w:color w:val="auto"/>
          <w:kern w:val="0"/>
          <w:sz w:val="24"/>
          <w:szCs w:val="24"/>
        </w:rPr>
      </w:pPr>
    </w:p>
    <w:p w14:paraId="72640A04" w14:textId="7C7F78D6" w:rsidR="00D03E15" w:rsidRDefault="00D03E15" w:rsidP="003F165F">
      <w:pPr>
        <w:ind w:left="-360"/>
        <w:rPr>
          <w:sz w:val="22"/>
          <w:szCs w:val="22"/>
        </w:rPr>
      </w:pPr>
      <w:r w:rsidRPr="003F165F">
        <w:rPr>
          <w:rFonts w:cstheme="minorBidi"/>
          <w:b/>
          <w:bCs/>
          <w:color w:val="44546A" w:themeColor="text2"/>
          <w:kern w:val="0"/>
          <w:sz w:val="32"/>
          <w:szCs w:val="32"/>
        </w:rPr>
        <w:t>Position Information</w:t>
      </w:r>
      <w:r w:rsidR="005035BA">
        <w:rPr>
          <w:rFonts w:cstheme="minorBidi"/>
          <w:color w:val="auto"/>
          <w:kern w:val="0"/>
          <w:sz w:val="36"/>
          <w:szCs w:val="36"/>
        </w:rPr>
        <w:br/>
      </w:r>
      <w:r>
        <w:rPr>
          <w:sz w:val="22"/>
          <w:szCs w:val="22"/>
        </w:rPr>
        <w:t>The Controller will manage, direct and supervise the activities of the Accounting Division; perform a variety of highly complex professional accounting work; and to provide complex staff assistance to the Deputy Internal Services Manager – Finance.</w:t>
      </w:r>
      <w:r w:rsidR="003F165F">
        <w:rPr>
          <w:sz w:val="22"/>
          <w:szCs w:val="22"/>
        </w:rPr>
        <w:t xml:space="preserve">  </w:t>
      </w:r>
      <w:r>
        <w:rPr>
          <w:sz w:val="22"/>
          <w:szCs w:val="22"/>
        </w:rPr>
        <w:t>Duties included, but are not limited to, the following:</w:t>
      </w:r>
      <w:r>
        <w:rPr>
          <w:rFonts w:cstheme="minorBidi"/>
          <w:color w:val="auto"/>
          <w:kern w:val="0"/>
          <w:sz w:val="24"/>
          <w:szCs w:val="24"/>
        </w:rPr>
        <w:br/>
      </w:r>
      <w:r>
        <w:rPr>
          <w:sz w:val="22"/>
          <w:szCs w:val="22"/>
        </w:rPr>
        <w:t xml:space="preserve">Supervises and coordinates the preparation of the City’s CAFR for submission to the Government Finance Officers Association (GFOA) Certificate of Achievement for Excellence in Financial Reporting Program. </w:t>
      </w:r>
      <w:r>
        <w:rPr>
          <w:sz w:val="22"/>
          <w:szCs w:val="22"/>
        </w:rPr>
        <w:br/>
        <w:t>Coordinates the City’s annual financial statement audit and is a primary contact with the City’s external auditors during the annual audit process.</w:t>
      </w:r>
      <w:r>
        <w:rPr>
          <w:sz w:val="22"/>
          <w:szCs w:val="22"/>
        </w:rPr>
        <w:br/>
        <w:t>Interprets and implements accounting standards and ensures compliance with Generally Accepted Accounting Principles; Governmental Accounting Standards Board Pronouncements and other guidance; Federal</w:t>
      </w:r>
      <w:r>
        <w:rPr>
          <w:rFonts w:ascii="Arial" w:hAnsi="Arial" w:cs="Arial"/>
          <w:sz w:val="22"/>
          <w:szCs w:val="22"/>
        </w:rPr>
        <w:t xml:space="preserve">, </w:t>
      </w:r>
      <w:r>
        <w:rPr>
          <w:sz w:val="22"/>
          <w:szCs w:val="22"/>
        </w:rPr>
        <w:t xml:space="preserve">State and local laws; codes; and regulations applied to municipal accounting such as debt covenants. </w:t>
      </w:r>
      <w:r>
        <w:rPr>
          <w:sz w:val="22"/>
          <w:szCs w:val="22"/>
        </w:rPr>
        <w:br/>
        <w:t>Supervises and ensures the accuracy, timeliness and efficiency of the City’s payroll and accounts payable functions.</w:t>
      </w:r>
    </w:p>
    <w:p w14:paraId="48D4E907" w14:textId="77777777" w:rsidR="00D03E15" w:rsidRPr="003F165F" w:rsidRDefault="00D03E15" w:rsidP="00D03E15">
      <w:pPr>
        <w:ind w:left="-360"/>
        <w:rPr>
          <w:b/>
          <w:bCs/>
          <w:color w:val="44546A" w:themeColor="text2"/>
          <w:sz w:val="32"/>
          <w:szCs w:val="32"/>
        </w:rPr>
      </w:pPr>
      <w:r w:rsidRPr="003F165F">
        <w:rPr>
          <w:b/>
          <w:bCs/>
          <w:color w:val="44546A" w:themeColor="text2"/>
          <w:sz w:val="32"/>
          <w:szCs w:val="32"/>
        </w:rPr>
        <w:t>Qualifications</w:t>
      </w:r>
    </w:p>
    <w:p w14:paraId="42D4D781" w14:textId="78644C63" w:rsidR="00EC451A" w:rsidRDefault="00D03E15" w:rsidP="00D03E15">
      <w:pPr>
        <w:ind w:left="-360"/>
        <w:rPr>
          <w:sz w:val="22"/>
          <w:szCs w:val="22"/>
        </w:rPr>
      </w:pPr>
      <w:r>
        <w:rPr>
          <w:b/>
          <w:bCs/>
          <w:sz w:val="24"/>
          <w:szCs w:val="24"/>
        </w:rPr>
        <w:t>Minimum Qualifications:</w:t>
      </w:r>
      <w:r>
        <w:rPr>
          <w:b/>
          <w:bCs/>
          <w:sz w:val="24"/>
          <w:szCs w:val="24"/>
        </w:rPr>
        <w:br/>
      </w:r>
      <w:r>
        <w:rPr>
          <w:b/>
          <w:bCs/>
          <w:sz w:val="22"/>
          <w:szCs w:val="22"/>
        </w:rPr>
        <w:t xml:space="preserve">Work Experience: </w:t>
      </w:r>
      <w:r>
        <w:rPr>
          <w:b/>
          <w:bCs/>
          <w:sz w:val="22"/>
          <w:szCs w:val="22"/>
        </w:rPr>
        <w:br/>
      </w:r>
      <w:r>
        <w:rPr>
          <w:sz w:val="22"/>
          <w:szCs w:val="22"/>
        </w:rPr>
        <w:t>Five years of experience in financial and accounting administration, preferably in municipal government, including two years of administrative and/or supervisory responsibility.</w:t>
      </w:r>
      <w:r>
        <w:rPr>
          <w:sz w:val="22"/>
          <w:szCs w:val="22"/>
        </w:rPr>
        <w:br/>
      </w:r>
      <w:r>
        <w:rPr>
          <w:b/>
          <w:bCs/>
          <w:sz w:val="22"/>
          <w:szCs w:val="22"/>
        </w:rPr>
        <w:t xml:space="preserve">Education: </w:t>
      </w:r>
      <w:r>
        <w:rPr>
          <w:b/>
          <w:bCs/>
          <w:sz w:val="22"/>
          <w:szCs w:val="22"/>
        </w:rPr>
        <w:br/>
      </w:r>
      <w:r>
        <w:rPr>
          <w:sz w:val="22"/>
          <w:szCs w:val="22"/>
        </w:rPr>
        <w:t xml:space="preserve">Equivalent to a Bachelor’s degree from an accredited college or university with </w:t>
      </w:r>
      <w:r>
        <w:rPr>
          <w:sz w:val="22"/>
          <w:szCs w:val="22"/>
        </w:rPr>
        <w:br/>
        <w:t xml:space="preserve">major course work in accounting, finance or a degree related to the core functions of this position. </w:t>
      </w:r>
    </w:p>
    <w:p w14:paraId="0F8D73DF" w14:textId="3AD3582B" w:rsidR="00D03E15" w:rsidRDefault="00D03E15" w:rsidP="00D03E15">
      <w:pPr>
        <w:ind w:left="-360"/>
        <w:rPr>
          <w:sz w:val="22"/>
          <w:szCs w:val="22"/>
        </w:rPr>
      </w:pPr>
      <w:r>
        <w:rPr>
          <w:i/>
          <w:iCs/>
        </w:rPr>
        <w:t xml:space="preserve">The term “equivalent” means that directly related work experience exceeding the required work experience will substitute in equal time increments for college-level education, for example: one year of additional directly related work experience will substitute for one year of college education (30 credit hours). </w:t>
      </w:r>
      <w:r>
        <w:rPr>
          <w:i/>
          <w:iCs/>
        </w:rPr>
        <w:br/>
      </w:r>
      <w:r>
        <w:rPr>
          <w:b/>
          <w:bCs/>
          <w:sz w:val="22"/>
          <w:szCs w:val="22"/>
        </w:rPr>
        <w:t xml:space="preserve">License/Certification: </w:t>
      </w:r>
      <w:r>
        <w:rPr>
          <w:b/>
          <w:bCs/>
          <w:sz w:val="22"/>
          <w:szCs w:val="22"/>
        </w:rPr>
        <w:br/>
      </w:r>
      <w:r>
        <w:rPr>
          <w:sz w:val="22"/>
          <w:szCs w:val="22"/>
        </w:rPr>
        <w:t>Possession of a Certified Public Accountant certification.</w:t>
      </w:r>
    </w:p>
    <w:p w14:paraId="0F490864" w14:textId="130586C4" w:rsidR="00D03E15" w:rsidRPr="003F165F" w:rsidRDefault="00EC451A" w:rsidP="00D03E15">
      <w:pPr>
        <w:ind w:left="-360"/>
        <w:rPr>
          <w:b/>
          <w:bCs/>
          <w:color w:val="44546A" w:themeColor="text2"/>
          <w:sz w:val="32"/>
          <w:szCs w:val="32"/>
        </w:rPr>
      </w:pPr>
      <w:r w:rsidRPr="003F165F">
        <w:rPr>
          <w:b/>
          <w:bCs/>
          <w:color w:val="44546A" w:themeColor="text2"/>
          <w:sz w:val="32"/>
          <w:szCs w:val="32"/>
        </w:rPr>
        <w:lastRenderedPageBreak/>
        <w:t>Selection Criteria</w:t>
      </w:r>
    </w:p>
    <w:p w14:paraId="560FC985" w14:textId="45286B3B" w:rsidR="00EC451A" w:rsidRDefault="00EC451A" w:rsidP="00D03E15">
      <w:pPr>
        <w:ind w:left="-360"/>
        <w:rPr>
          <w:sz w:val="22"/>
          <w:szCs w:val="22"/>
        </w:rPr>
      </w:pPr>
      <w:r>
        <w:rPr>
          <w:sz w:val="22"/>
          <w:szCs w:val="22"/>
        </w:rPr>
        <w:t>Applicants whose experience and training most closely meet the needs of the city may be selected to move forward in the process. Falsifying or lying during any stage of the selection/hiring process will make you ineligible for new or continued employment.</w:t>
      </w:r>
    </w:p>
    <w:p w14:paraId="54B47481" w14:textId="54E21CEA" w:rsidR="00EC451A" w:rsidRPr="003F165F" w:rsidRDefault="00EC451A" w:rsidP="00D03E15">
      <w:pPr>
        <w:ind w:left="-360"/>
        <w:rPr>
          <w:b/>
          <w:bCs/>
          <w:color w:val="44546A" w:themeColor="text2"/>
          <w:sz w:val="32"/>
          <w:szCs w:val="32"/>
        </w:rPr>
      </w:pPr>
      <w:r w:rsidRPr="003F165F">
        <w:rPr>
          <w:b/>
          <w:bCs/>
          <w:color w:val="44546A" w:themeColor="text2"/>
          <w:sz w:val="32"/>
          <w:szCs w:val="32"/>
        </w:rPr>
        <w:t>How to apply</w:t>
      </w:r>
    </w:p>
    <w:p w14:paraId="017C27A3" w14:textId="40E33808" w:rsidR="00EC451A" w:rsidRDefault="00EC451A" w:rsidP="00D03E15">
      <w:pPr>
        <w:ind w:left="-360"/>
        <w:rPr>
          <w:sz w:val="22"/>
          <w:szCs w:val="22"/>
        </w:rPr>
      </w:pPr>
      <w:r>
        <w:rPr>
          <w:sz w:val="22"/>
          <w:szCs w:val="22"/>
        </w:rPr>
        <w:t xml:space="preserve">Applicants are required </w:t>
      </w:r>
      <w:r w:rsidR="005035BA">
        <w:rPr>
          <w:sz w:val="22"/>
          <w:szCs w:val="22"/>
        </w:rPr>
        <w:t>t</w:t>
      </w:r>
      <w:r>
        <w:rPr>
          <w:sz w:val="22"/>
          <w:szCs w:val="22"/>
        </w:rPr>
        <w:t>o submit an application, resume and respond to all supplemental questions.</w:t>
      </w:r>
    </w:p>
    <w:p w14:paraId="7C25B535" w14:textId="77777777" w:rsidR="005035BA" w:rsidRDefault="005035BA" w:rsidP="005035BA">
      <w:pPr>
        <w:ind w:left="-360"/>
        <w:rPr>
          <w:color w:val="221F1F"/>
          <w:w w:val="88"/>
          <w:sz w:val="22"/>
          <w:szCs w:val="22"/>
        </w:rPr>
      </w:pPr>
      <w:r>
        <w:rPr>
          <w:sz w:val="22"/>
          <w:szCs w:val="22"/>
        </w:rPr>
        <w:t xml:space="preserve">To apply: </w:t>
      </w:r>
      <w:r w:rsidRPr="00D03E15">
        <w:rPr>
          <w:color w:val="221F1F"/>
          <w:spacing w:val="2"/>
          <w:w w:val="88"/>
          <w:sz w:val="22"/>
          <w:szCs w:val="22"/>
        </w:rPr>
        <w:t xml:space="preserve"> </w:t>
      </w:r>
      <w:hyperlink r:id="rId6" w:history="1">
        <w:r w:rsidRPr="00D03E15">
          <w:rPr>
            <w:rStyle w:val="Hyperlink"/>
            <w:spacing w:val="2"/>
            <w:w w:val="88"/>
            <w:sz w:val="22"/>
            <w:szCs w:val="22"/>
          </w:rPr>
          <w:t>Tempe.gov/jobs</w:t>
        </w:r>
      </w:hyperlink>
    </w:p>
    <w:p w14:paraId="20DFA06C" w14:textId="77777777" w:rsidR="005035BA" w:rsidRDefault="005035BA" w:rsidP="005035BA">
      <w:pPr>
        <w:ind w:left="-360"/>
        <w:rPr>
          <w:sz w:val="22"/>
          <w:szCs w:val="22"/>
        </w:rPr>
      </w:pPr>
      <w:r>
        <w:rPr>
          <w:sz w:val="22"/>
          <w:szCs w:val="22"/>
        </w:rPr>
        <w:t>Questions: Lisa Cross, Human Resources Analyst, 480-350-8415</w:t>
      </w:r>
    </w:p>
    <w:p w14:paraId="0BFFD714" w14:textId="02B1B325" w:rsidR="005035BA" w:rsidRPr="003F165F" w:rsidRDefault="005035BA" w:rsidP="00D03E15">
      <w:pPr>
        <w:ind w:left="-360"/>
        <w:rPr>
          <w:b/>
          <w:bCs/>
          <w:color w:val="44546A" w:themeColor="text2"/>
          <w:sz w:val="32"/>
          <w:szCs w:val="32"/>
        </w:rPr>
      </w:pPr>
      <w:r w:rsidRPr="003F165F">
        <w:rPr>
          <w:b/>
          <w:bCs/>
          <w:color w:val="44546A" w:themeColor="text2"/>
          <w:sz w:val="32"/>
          <w:szCs w:val="32"/>
        </w:rPr>
        <w:t>Benefits</w:t>
      </w:r>
    </w:p>
    <w:p w14:paraId="763248B0" w14:textId="59538201" w:rsidR="005035BA" w:rsidRDefault="005035BA" w:rsidP="005035BA">
      <w:pPr>
        <w:numPr>
          <w:ilvl w:val="0"/>
          <w:numId w:val="1"/>
        </w:numPr>
        <w:spacing w:after="0" w:line="240" w:lineRule="auto"/>
        <w:rPr>
          <w:sz w:val="22"/>
          <w:szCs w:val="22"/>
        </w:rPr>
      </w:pPr>
      <w:r>
        <w:rPr>
          <w:sz w:val="22"/>
          <w:szCs w:val="22"/>
        </w:rPr>
        <w:t>Minimum of 14 paid vacation days per year (depending on length of service)</w:t>
      </w:r>
    </w:p>
    <w:p w14:paraId="73AF4FDB" w14:textId="2E2C55DE" w:rsidR="005035BA" w:rsidRDefault="005035BA" w:rsidP="005035BA">
      <w:pPr>
        <w:numPr>
          <w:ilvl w:val="0"/>
          <w:numId w:val="1"/>
        </w:numPr>
        <w:spacing w:after="0" w:line="240" w:lineRule="auto"/>
        <w:rPr>
          <w:sz w:val="22"/>
          <w:szCs w:val="22"/>
        </w:rPr>
      </w:pPr>
      <w:r>
        <w:rPr>
          <w:sz w:val="22"/>
          <w:szCs w:val="22"/>
        </w:rPr>
        <w:t>16 hours of exempt leave</w:t>
      </w:r>
    </w:p>
    <w:p w14:paraId="75E6F85B" w14:textId="32AB1872" w:rsidR="005035BA" w:rsidRDefault="005035BA" w:rsidP="005035BA">
      <w:pPr>
        <w:numPr>
          <w:ilvl w:val="0"/>
          <w:numId w:val="1"/>
        </w:numPr>
        <w:spacing w:after="0" w:line="240" w:lineRule="auto"/>
        <w:rPr>
          <w:sz w:val="22"/>
          <w:szCs w:val="22"/>
        </w:rPr>
      </w:pPr>
      <w:r>
        <w:rPr>
          <w:sz w:val="22"/>
          <w:szCs w:val="22"/>
        </w:rPr>
        <w:t>12 paid sick leave days per year</w:t>
      </w:r>
    </w:p>
    <w:p w14:paraId="68D59FD5" w14:textId="311A38CE" w:rsidR="005035BA" w:rsidRDefault="005035BA" w:rsidP="005035BA">
      <w:pPr>
        <w:numPr>
          <w:ilvl w:val="0"/>
          <w:numId w:val="1"/>
        </w:numPr>
        <w:spacing w:after="0" w:line="240" w:lineRule="auto"/>
        <w:rPr>
          <w:sz w:val="22"/>
          <w:szCs w:val="22"/>
        </w:rPr>
      </w:pPr>
      <w:r>
        <w:rPr>
          <w:sz w:val="22"/>
          <w:szCs w:val="22"/>
        </w:rPr>
        <w:t xml:space="preserve">12 </w:t>
      </w:r>
      <w:r w:rsidR="00551D01">
        <w:rPr>
          <w:sz w:val="22"/>
          <w:szCs w:val="22"/>
        </w:rPr>
        <w:t>paid</w:t>
      </w:r>
      <w:r>
        <w:rPr>
          <w:sz w:val="22"/>
          <w:szCs w:val="22"/>
        </w:rPr>
        <w:t xml:space="preserve"> holidays per year</w:t>
      </w:r>
    </w:p>
    <w:p w14:paraId="400A3987" w14:textId="6114B307" w:rsidR="005035BA" w:rsidRDefault="005035BA" w:rsidP="005035BA">
      <w:pPr>
        <w:numPr>
          <w:ilvl w:val="0"/>
          <w:numId w:val="1"/>
        </w:numPr>
        <w:spacing w:after="0" w:line="240" w:lineRule="auto"/>
        <w:rPr>
          <w:sz w:val="22"/>
          <w:szCs w:val="22"/>
        </w:rPr>
      </w:pPr>
      <w:r>
        <w:rPr>
          <w:sz w:val="22"/>
          <w:szCs w:val="22"/>
        </w:rPr>
        <w:t>Health, dental, life and vision care coverage plans</w:t>
      </w:r>
    </w:p>
    <w:p w14:paraId="7224EB35" w14:textId="0D717D05" w:rsidR="005035BA" w:rsidRDefault="005035BA" w:rsidP="005035BA">
      <w:pPr>
        <w:numPr>
          <w:ilvl w:val="0"/>
          <w:numId w:val="1"/>
        </w:numPr>
        <w:spacing w:after="0" w:line="240" w:lineRule="auto"/>
        <w:rPr>
          <w:sz w:val="22"/>
          <w:szCs w:val="22"/>
        </w:rPr>
      </w:pPr>
      <w:r>
        <w:rPr>
          <w:sz w:val="22"/>
          <w:szCs w:val="22"/>
        </w:rPr>
        <w:t>Up to $6,000 per year tuition reimbursement</w:t>
      </w:r>
    </w:p>
    <w:p w14:paraId="55D5E1B0" w14:textId="4C5958AA" w:rsidR="005035BA" w:rsidRDefault="005035BA" w:rsidP="005035BA">
      <w:pPr>
        <w:numPr>
          <w:ilvl w:val="0"/>
          <w:numId w:val="1"/>
        </w:numPr>
        <w:rPr>
          <w:sz w:val="22"/>
          <w:szCs w:val="22"/>
        </w:rPr>
      </w:pPr>
      <w:r>
        <w:rPr>
          <w:sz w:val="22"/>
          <w:szCs w:val="22"/>
        </w:rPr>
        <w:t>Arizona State Retirement System (ASRS)</w:t>
      </w:r>
    </w:p>
    <w:p w14:paraId="6548C290" w14:textId="335D0C6B" w:rsidR="00317514" w:rsidRDefault="00317514">
      <w:pPr>
        <w:ind w:left="-360"/>
        <w:rPr>
          <w:rFonts w:cstheme="minorBidi"/>
          <w:color w:val="auto"/>
          <w:kern w:val="0"/>
          <w:sz w:val="24"/>
          <w:szCs w:val="24"/>
        </w:rPr>
      </w:pPr>
    </w:p>
    <w:p w14:paraId="13B23340" w14:textId="3664D194" w:rsidR="00317514" w:rsidRDefault="00317514">
      <w:pPr>
        <w:ind w:left="-360"/>
        <w:rPr>
          <w:rFonts w:cstheme="minorBidi"/>
          <w:color w:val="auto"/>
          <w:kern w:val="0"/>
          <w:sz w:val="24"/>
          <w:szCs w:val="24"/>
        </w:rPr>
      </w:pPr>
    </w:p>
    <w:p w14:paraId="5CE5EA28" w14:textId="77777777" w:rsidR="005C339E" w:rsidRDefault="005C1271" w:rsidP="005C339E">
      <w:pPr>
        <w:ind w:left="-360"/>
        <w:rPr>
          <w:rFonts w:cstheme="minorBidi"/>
          <w:color w:val="auto"/>
          <w:kern w:val="0"/>
          <w:sz w:val="24"/>
          <w:szCs w:val="24"/>
        </w:rPr>
      </w:pPr>
      <w:r>
        <w:rPr>
          <w:rFonts w:ascii="Times New Roman" w:hAnsi="Times New Roman"/>
          <w:color w:val="auto"/>
          <w:kern w:val="0"/>
          <w:sz w:val="24"/>
          <w:szCs w:val="24"/>
        </w:rPr>
        <w:pict w14:anchorId="32EBB253">
          <v:rect id="_x0000_s1059" style="position:absolute;left:0;text-align:left;margin-left:338.95pt;margin-top:7.2pt;width:171.3pt;height:137.55pt;z-index:251668480;mso-wrap-distance-left:2.88pt;mso-wrap-distance-top:2.88pt;mso-wrap-distance-right:2.88pt;mso-wrap-distance-bottom:2.88pt" o:preferrelative="t" filled="f" stroked="f" strokeweight="2pt" o:cliptowrap="t">
            <v:imagedata r:id="rId7" o:title="Tempe Town Lake, USA_10[1]"/>
            <v:shadow color="#eeece1"/>
            <o:extrusion v:ext="view" backdepth="0" viewpoint="0,0" viewpointorigin="0,0"/>
            <o:lock v:ext="edit" aspectratio="t"/>
          </v:rect>
        </w:pict>
      </w:r>
      <w:r>
        <w:rPr>
          <w:rFonts w:ascii="Times New Roman" w:hAnsi="Times New Roman"/>
          <w:color w:val="auto"/>
          <w:kern w:val="0"/>
          <w:sz w:val="24"/>
          <w:szCs w:val="24"/>
        </w:rPr>
        <w:pict w14:anchorId="6BA95A75">
          <v:group id="_x0000_s1056" style="position:absolute;left:0;text-align:left;margin-left:-38.9pt;margin-top:-43.6pt;width:545.55pt;height:43.4pt;z-index:251666432" coordorigin="10670,10634" coordsize="692,48">
            <v:shape id="_x0000_s1057" type="#_x0000_t202" style="position:absolute;left:10681;top:10634;width:669;height:48;mso-wrap-distance-left:2.88pt;mso-wrap-distance-top:2.88pt;mso-wrap-distance-right:2.88pt;mso-wrap-distance-bottom:2.88pt" fillcolor="#00b0f0" stroked="f" insetpen="t" o:cliptowrap="t">
              <v:stroke>
                <o:left v:ext="view" joinstyle="miter" insetpen="t"/>
                <o:top v:ext="view" joinstyle="miter" insetpen="t"/>
                <o:right v:ext="view" joinstyle="miter" insetpen="t"/>
                <o:bottom v:ext="view" joinstyle="miter" insetpen="t"/>
              </v:stroke>
              <v:shadow color="#eeece1"/>
              <v:textbox style="mso-column-margin:5.76pt" inset="2.88pt,2.88pt,2.88pt,2.88pt">
                <w:txbxContent>
                  <w:p w14:paraId="5B002C65" w14:textId="77777777" w:rsidR="005C339E" w:rsidRDefault="005C339E" w:rsidP="005C339E"/>
                </w:txbxContent>
              </v:textbox>
            </v:shape>
            <v:shape id="_x0000_s1058" type="#_x0000_t202" style="position:absolute;left:10670;top:10638;width:692;height:37;mso-wrap-distance-left:2.88pt;mso-wrap-distance-top:2.88pt;mso-wrap-distance-right:2.88pt;mso-wrap-distance-bottom:2.88pt" fillcolor="#27415f" stroked="f" insetpen="t" o:cliptowrap="t">
              <v:stroke>
                <o:left v:ext="view" joinstyle="miter" insetpen="t"/>
                <o:top v:ext="view" joinstyle="miter" insetpen="t"/>
                <o:right v:ext="view" joinstyle="miter" insetpen="t"/>
                <o:bottom v:ext="view" joinstyle="miter" insetpen="t"/>
              </v:stroke>
              <v:shadow color="#eeece1"/>
              <v:textbox style="mso-column-margin:5.76pt" inset="2.88pt,2.88pt,2.88pt,2.88pt">
                <w:txbxContent>
                  <w:p w14:paraId="30B3FC21" w14:textId="77777777" w:rsidR="005C339E" w:rsidRPr="005C339E" w:rsidRDefault="005C339E" w:rsidP="005C339E">
                    <w:pPr>
                      <w:jc w:val="center"/>
                      <w:rPr>
                        <w:b/>
                        <w:bCs/>
                        <w:color w:val="FFFFFF"/>
                        <w:sz w:val="48"/>
                        <w:szCs w:val="48"/>
                      </w:rPr>
                    </w:pPr>
                    <w:r w:rsidRPr="005C339E">
                      <w:rPr>
                        <w:b/>
                        <w:bCs/>
                        <w:color w:val="FFFFFF"/>
                        <w:sz w:val="48"/>
                        <w:szCs w:val="48"/>
                      </w:rPr>
                      <w:t xml:space="preserve">The Community </w:t>
                    </w:r>
                  </w:p>
                </w:txbxContent>
              </v:textbox>
            </v:shape>
          </v:group>
        </w:pict>
      </w:r>
    </w:p>
    <w:p w14:paraId="6C2A2F60" w14:textId="45AE2CBB" w:rsidR="005C339E" w:rsidRDefault="005C339E" w:rsidP="005C339E">
      <w:pPr>
        <w:ind w:left="-360"/>
        <w:rPr>
          <w:rFonts w:cstheme="minorBidi"/>
          <w:color w:val="auto"/>
          <w:kern w:val="0"/>
          <w:sz w:val="24"/>
          <w:szCs w:val="24"/>
        </w:rPr>
      </w:pPr>
      <w:r>
        <w:rPr>
          <w:w w:val="88"/>
          <w:sz w:val="23"/>
          <w:szCs w:val="23"/>
        </w:rPr>
        <w:t xml:space="preserve">Tempe is in the center of the Greater Phoenix Metropolitan Area and covers </w:t>
      </w:r>
      <w:r>
        <w:rPr>
          <w:w w:val="88"/>
          <w:sz w:val="23"/>
          <w:szCs w:val="23"/>
        </w:rPr>
        <w:br/>
        <w:t xml:space="preserve">about 40 square miles. The city, home to more than 182,000 residents, is </w:t>
      </w:r>
      <w:r>
        <w:rPr>
          <w:w w:val="88"/>
          <w:sz w:val="23"/>
          <w:szCs w:val="23"/>
        </w:rPr>
        <w:br/>
        <w:t xml:space="preserve">surrounded by six freeways and is the only Arizona </w:t>
      </w:r>
      <w:r w:rsidR="000375DC">
        <w:rPr>
          <w:w w:val="88"/>
          <w:sz w:val="23"/>
          <w:szCs w:val="23"/>
        </w:rPr>
        <w:t>c</w:t>
      </w:r>
      <w:r>
        <w:rPr>
          <w:w w:val="88"/>
          <w:sz w:val="23"/>
          <w:szCs w:val="23"/>
        </w:rPr>
        <w:t xml:space="preserve">ity to have border-to-border </w:t>
      </w:r>
      <w:r>
        <w:rPr>
          <w:w w:val="88"/>
          <w:sz w:val="23"/>
          <w:szCs w:val="23"/>
        </w:rPr>
        <w:br/>
        <w:t xml:space="preserve">light rail. Tempe is an importer of employees </w:t>
      </w:r>
      <w:r w:rsidR="00DA43C7">
        <w:rPr>
          <w:w w:val="88"/>
          <w:sz w:val="23"/>
          <w:szCs w:val="23"/>
        </w:rPr>
        <w:t>where</w:t>
      </w:r>
      <w:r>
        <w:rPr>
          <w:w w:val="88"/>
          <w:sz w:val="23"/>
          <w:szCs w:val="23"/>
        </w:rPr>
        <w:t xml:space="preserve"> over 210,000 are employed within </w:t>
      </w:r>
      <w:r>
        <w:rPr>
          <w:w w:val="88"/>
          <w:sz w:val="23"/>
          <w:szCs w:val="23"/>
        </w:rPr>
        <w:br/>
        <w:t xml:space="preserve">the city. Tempe has 1,983 full-time and part-time employees and a fiscal year </w:t>
      </w:r>
      <w:r>
        <w:rPr>
          <w:w w:val="88"/>
          <w:sz w:val="23"/>
          <w:szCs w:val="23"/>
        </w:rPr>
        <w:br/>
        <w:t xml:space="preserve">2020-21 annual budget of $777.6 million as follows: General Fund $236.7 million, </w:t>
      </w:r>
      <w:r>
        <w:rPr>
          <w:w w:val="88"/>
          <w:sz w:val="23"/>
          <w:szCs w:val="23"/>
        </w:rPr>
        <w:br/>
        <w:t>other operating funds $305.5 million, and capital project funds $235.4 million.</w:t>
      </w:r>
    </w:p>
    <w:p w14:paraId="674A328C" w14:textId="77777777" w:rsidR="005C339E" w:rsidRDefault="005C339E" w:rsidP="005C339E">
      <w:pPr>
        <w:ind w:left="-360"/>
        <w:rPr>
          <w:rFonts w:cstheme="minorBidi"/>
          <w:color w:val="auto"/>
          <w:kern w:val="0"/>
          <w:sz w:val="24"/>
          <w:szCs w:val="24"/>
        </w:rPr>
      </w:pPr>
      <w:r>
        <w:rPr>
          <w:w w:val="88"/>
          <w:sz w:val="23"/>
          <w:szCs w:val="23"/>
        </w:rPr>
        <w:t>Tempe features a wonderful mix of history and modern urban amenities and respects its heritage while planning for its future. The city still has buildings from the late 1800s in its downtown, and while enjoying dynamic growth, has maintained its unique personality and style through a careful blending of the new with the old.</w:t>
      </w:r>
    </w:p>
    <w:p w14:paraId="2DDCBE98" w14:textId="77777777" w:rsidR="005C339E" w:rsidRDefault="005C339E" w:rsidP="005C339E">
      <w:pPr>
        <w:ind w:left="-360"/>
        <w:rPr>
          <w:rFonts w:cstheme="minorBidi"/>
          <w:color w:val="auto"/>
          <w:kern w:val="0"/>
          <w:sz w:val="24"/>
          <w:szCs w:val="24"/>
        </w:rPr>
      </w:pPr>
      <w:r>
        <w:rPr>
          <w:w w:val="88"/>
          <w:sz w:val="23"/>
          <w:szCs w:val="23"/>
        </w:rPr>
        <w:t>The nation’s most innovative university – Arizona State (ASU) – calls Tempe home, and Tempe Town Lake, to the City’s north provides one of the most popular destinations in the state – second only to the Grand Canyon. Tempe is the spring training home for the Los Angeles Angels of Anaheim, and Downtown Tempe offers a walkable urban downtown district, representing a destination for the independently spirited, a hub for entertainment and an attractive market for entrepreneurial business.</w:t>
      </w:r>
    </w:p>
    <w:p w14:paraId="36E120F1" w14:textId="7A9B9F0B" w:rsidR="005C339E" w:rsidRDefault="005C339E" w:rsidP="005C339E">
      <w:pPr>
        <w:ind w:left="-360"/>
        <w:rPr>
          <w:rFonts w:cstheme="minorBidi"/>
          <w:color w:val="auto"/>
          <w:kern w:val="0"/>
          <w:sz w:val="24"/>
          <w:szCs w:val="24"/>
        </w:rPr>
      </w:pPr>
      <w:r>
        <w:rPr>
          <w:w w:val="88"/>
          <w:sz w:val="23"/>
          <w:szCs w:val="23"/>
        </w:rPr>
        <w:lastRenderedPageBreak/>
        <w:t xml:space="preserve">More than 17,000 people work in downtown Tempe for companies such as Amazon, Zenefits, J.P. Morgan Chase and LifeLock. Major employers in the city include Aramark Corp, State Farm, ASU, KPMG, as well as an eclectic mix of small and </w:t>
      </w:r>
      <w:r w:rsidR="007505C9">
        <w:rPr>
          <w:w w:val="88"/>
          <w:sz w:val="23"/>
          <w:szCs w:val="23"/>
        </w:rPr>
        <w:t>locally owned</w:t>
      </w:r>
      <w:r>
        <w:rPr>
          <w:w w:val="88"/>
          <w:sz w:val="23"/>
          <w:szCs w:val="23"/>
        </w:rPr>
        <w:t xml:space="preserve"> businesses.</w:t>
      </w:r>
    </w:p>
    <w:p w14:paraId="78EBFD95" w14:textId="7C038F42" w:rsidR="00317514" w:rsidRDefault="005C339E">
      <w:pPr>
        <w:ind w:left="-360"/>
        <w:rPr>
          <w:rFonts w:cstheme="minorBidi"/>
          <w:color w:val="auto"/>
          <w:kern w:val="0"/>
          <w:sz w:val="24"/>
          <w:szCs w:val="24"/>
        </w:rPr>
      </w:pPr>
      <w:r>
        <w:rPr>
          <w:w w:val="88"/>
          <w:sz w:val="23"/>
          <w:szCs w:val="23"/>
        </w:rPr>
        <w:t>Tempe is among Arizona’s most educated cities with more than 40 percent of its residents age 25 and older having Bachelor degrees or higher. This lends itself to a creative, smart atmosphere where anything seems possible.</w:t>
      </w:r>
    </w:p>
    <w:p w14:paraId="1875A7F1" w14:textId="77777777" w:rsidR="005C339E" w:rsidRPr="003F165F" w:rsidRDefault="005C339E" w:rsidP="005C339E">
      <w:pPr>
        <w:ind w:left="-360"/>
        <w:rPr>
          <w:rFonts w:cstheme="minorBidi"/>
          <w:b/>
          <w:bCs/>
          <w:color w:val="44546A" w:themeColor="text2"/>
          <w:kern w:val="0"/>
          <w:sz w:val="32"/>
          <w:szCs w:val="32"/>
        </w:rPr>
      </w:pPr>
      <w:r w:rsidRPr="003F165F">
        <w:rPr>
          <w:rFonts w:cstheme="minorBidi"/>
          <w:b/>
          <w:bCs/>
          <w:color w:val="44546A" w:themeColor="text2"/>
          <w:kern w:val="0"/>
          <w:sz w:val="32"/>
          <w:szCs w:val="32"/>
        </w:rPr>
        <w:t>The Culture</w:t>
      </w:r>
    </w:p>
    <w:p w14:paraId="0D7FBD80" w14:textId="77777777" w:rsidR="005C339E" w:rsidRDefault="005C339E" w:rsidP="005C339E">
      <w:pPr>
        <w:ind w:left="-360"/>
        <w:rPr>
          <w:rFonts w:cstheme="minorBidi"/>
          <w:color w:val="auto"/>
          <w:kern w:val="0"/>
          <w:sz w:val="24"/>
          <w:szCs w:val="24"/>
        </w:rPr>
      </w:pPr>
      <w:r>
        <w:rPr>
          <w:w w:val="88"/>
          <w:sz w:val="23"/>
          <w:szCs w:val="23"/>
        </w:rPr>
        <w:t xml:space="preserve">Tempe residents enjoy unsurpassed quality of life, including numerous annual events, such as the Rock n’ Roll Marathon, Tour de Fat Bike Festival, Ironman Arizona and a Fourth of July Celebration that regularly draws more than 50,000 people. Residents also enjoy numerous recreational opportunities with over 50 parks offering miles of hiking trails and recreation space and over 175 miles of dedicated bike paths. </w:t>
      </w:r>
    </w:p>
    <w:p w14:paraId="73BEF136" w14:textId="13A50EAC" w:rsidR="005C339E" w:rsidRDefault="005C339E" w:rsidP="005C339E">
      <w:pPr>
        <w:ind w:left="-360"/>
        <w:rPr>
          <w:w w:val="88"/>
          <w:sz w:val="23"/>
          <w:szCs w:val="23"/>
        </w:rPr>
      </w:pPr>
      <w:r>
        <w:rPr>
          <w:w w:val="88"/>
          <w:sz w:val="23"/>
          <w:szCs w:val="23"/>
        </w:rPr>
        <w:t>Residents appreciate Tempe’s various cultural and art activities at its many venues that include Broadway shows at ASU Gammage, Spring Training Baseball and community performances at Tempe Center for the Arts</w:t>
      </w:r>
      <w:r w:rsidR="00D9609D">
        <w:rPr>
          <w:w w:val="88"/>
          <w:sz w:val="23"/>
          <w:szCs w:val="23"/>
        </w:rPr>
        <w:t>, as well as a number of museums</w:t>
      </w:r>
      <w:r>
        <w:rPr>
          <w:w w:val="88"/>
          <w:sz w:val="23"/>
          <w:szCs w:val="23"/>
        </w:rPr>
        <w:t xml:space="preserve"> such as The Arizona Heritage Center at Papago Park, Nelson Fine Art</w:t>
      </w:r>
      <w:r w:rsidR="005C1271">
        <w:rPr>
          <w:w w:val="88"/>
          <w:sz w:val="23"/>
          <w:szCs w:val="23"/>
        </w:rPr>
        <w:t>s</w:t>
      </w:r>
      <w:bookmarkStart w:id="0" w:name="_GoBack"/>
      <w:bookmarkEnd w:id="0"/>
      <w:r>
        <w:rPr>
          <w:w w:val="88"/>
          <w:sz w:val="23"/>
          <w:szCs w:val="23"/>
        </w:rPr>
        <w:t xml:space="preserve"> Center, </w:t>
      </w:r>
      <w:r w:rsidR="00D9609D">
        <w:rPr>
          <w:w w:val="88"/>
          <w:sz w:val="23"/>
          <w:szCs w:val="23"/>
        </w:rPr>
        <w:t xml:space="preserve">and </w:t>
      </w:r>
      <w:r>
        <w:rPr>
          <w:w w:val="88"/>
          <w:sz w:val="23"/>
          <w:szCs w:val="23"/>
        </w:rPr>
        <w:t>Tempe History Museum.</w:t>
      </w:r>
    </w:p>
    <w:p w14:paraId="5FA4FEF7" w14:textId="77777777" w:rsidR="005C339E" w:rsidRPr="003F165F" w:rsidRDefault="005C339E" w:rsidP="005C339E">
      <w:pPr>
        <w:ind w:left="-360"/>
        <w:rPr>
          <w:rFonts w:cstheme="minorBidi"/>
          <w:b/>
          <w:bCs/>
          <w:color w:val="44546A" w:themeColor="text2"/>
          <w:kern w:val="0"/>
          <w:sz w:val="32"/>
          <w:szCs w:val="32"/>
        </w:rPr>
      </w:pPr>
      <w:r w:rsidRPr="003F165F">
        <w:rPr>
          <w:rFonts w:cstheme="minorBidi"/>
          <w:b/>
          <w:bCs/>
          <w:color w:val="44546A" w:themeColor="text2"/>
          <w:kern w:val="0"/>
          <w:sz w:val="32"/>
          <w:szCs w:val="32"/>
        </w:rPr>
        <w:t>Internal Services Department</w:t>
      </w:r>
    </w:p>
    <w:p w14:paraId="21FC0121" w14:textId="7B880B56" w:rsidR="005C339E" w:rsidRDefault="005C339E" w:rsidP="003F165F">
      <w:pPr>
        <w:ind w:left="-360"/>
        <w:rPr>
          <w:rFonts w:cstheme="minorBidi"/>
          <w:color w:val="auto"/>
          <w:kern w:val="0"/>
          <w:sz w:val="24"/>
          <w:szCs w:val="24"/>
        </w:rPr>
      </w:pPr>
      <w:r>
        <w:rPr>
          <w:w w:val="88"/>
          <w:sz w:val="23"/>
          <w:szCs w:val="23"/>
        </w:rPr>
        <w:t>The Internal Services Department provides a wide range of services and operational support to the City of Tempe organization.  The Department consists of four divisions—Employee Development, Finance, Human Resources and Information Technology.</w:t>
      </w:r>
    </w:p>
    <w:p w14:paraId="0C068CD0" w14:textId="77777777" w:rsidR="00EC451A" w:rsidRPr="003F165F" w:rsidRDefault="005C339E" w:rsidP="00EC451A">
      <w:pPr>
        <w:ind w:left="-360"/>
        <w:rPr>
          <w:rFonts w:cstheme="minorBidi"/>
          <w:b/>
          <w:bCs/>
          <w:color w:val="44546A" w:themeColor="text2"/>
          <w:kern w:val="0"/>
          <w:sz w:val="32"/>
          <w:szCs w:val="32"/>
        </w:rPr>
      </w:pPr>
      <w:r w:rsidRPr="003F165F">
        <w:rPr>
          <w:rFonts w:cstheme="minorBidi"/>
          <w:b/>
          <w:bCs/>
          <w:color w:val="44546A" w:themeColor="text2"/>
          <w:kern w:val="0"/>
          <w:sz w:val="32"/>
          <w:szCs w:val="32"/>
        </w:rPr>
        <w:t>Accounting</w:t>
      </w:r>
    </w:p>
    <w:p w14:paraId="46C78BFB" w14:textId="32413E7A" w:rsidR="005C339E" w:rsidRPr="00EC451A" w:rsidRDefault="005C339E" w:rsidP="00EC451A">
      <w:pPr>
        <w:ind w:left="-360"/>
        <w:rPr>
          <w:rFonts w:cstheme="minorBidi"/>
          <w:color w:val="auto"/>
          <w:kern w:val="0"/>
          <w:sz w:val="23"/>
          <w:szCs w:val="23"/>
        </w:rPr>
      </w:pPr>
      <w:r>
        <w:rPr>
          <w:w w:val="88"/>
          <w:sz w:val="22"/>
          <w:szCs w:val="22"/>
        </w:rPr>
        <w:t>The Accounting section of the Finance Division administers the general ledger, payroll, accounts payable, special assessments, accounts receivable, cash management, account reconciliation, and financial reporting, including the preparation of the Comprehensive Annual Financial Report (CAFR).  Accounting consists of 11 full-time employees.</w:t>
      </w:r>
    </w:p>
    <w:p w14:paraId="3126FCD0" w14:textId="2BC8F955" w:rsidR="00317514" w:rsidRDefault="005C339E" w:rsidP="003F165F">
      <w:pPr>
        <w:ind w:left="6480" w:firstLine="720"/>
        <w:rPr>
          <w:rFonts w:cstheme="minorBidi"/>
          <w:color w:val="auto"/>
          <w:kern w:val="0"/>
          <w:sz w:val="24"/>
          <w:szCs w:val="24"/>
        </w:rPr>
      </w:pPr>
      <w:r>
        <w:t> </w:t>
      </w:r>
      <w:r w:rsidR="005C1271">
        <w:rPr>
          <w:noProof/>
        </w:rPr>
        <w:pict w14:anchorId="5EA5F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55.7pt;height:76.2pt;visibility:visible;mso-wrap-style:square">
            <v:imagedata r:id="rId8" o:title=""/>
          </v:shape>
        </w:pict>
      </w:r>
      <w:r w:rsidR="005C1271">
        <w:rPr>
          <w:rFonts w:ascii="Times New Roman" w:hAnsi="Times New Roman"/>
          <w:color w:val="auto"/>
          <w:kern w:val="0"/>
          <w:sz w:val="24"/>
          <w:szCs w:val="24"/>
        </w:rPr>
        <w:pict w14:anchorId="5A573F2B">
          <v:rect id="_x0000_s1060" style="position:absolute;left:0;text-align:left;margin-left:39.75pt;margin-top:697.7pt;width:197.35pt;height:80.65pt;z-index:251670528;mso-wrap-distance-left:2.88pt;mso-wrap-distance-top:2.88pt;mso-wrap-distance-right:2.88pt;mso-wrap-distance-bottom:2.88pt;mso-position-horizontal-relative:text;mso-position-vertical-relative:text" o:preferrelative="t" filled="f" stroked="f" strokeweight="2pt" o:cliptowrap="t">
            <v:imagedata r:id="rId8" o:title="ShowImage[2]"/>
            <v:shadow color="#eeece1"/>
            <o:extrusion v:ext="view" backdepth="0" viewpoint="0,0" viewpointorigin="0,0"/>
            <o:lock v:ext="edit" aspectratio="t"/>
          </v:rect>
        </w:pict>
      </w:r>
      <w:r w:rsidR="005C1271">
        <w:rPr>
          <w:rFonts w:ascii="Times New Roman" w:hAnsi="Times New Roman"/>
          <w:color w:val="auto"/>
          <w:kern w:val="0"/>
          <w:sz w:val="24"/>
          <w:szCs w:val="24"/>
        </w:rPr>
        <w:pict w14:anchorId="56FAC2AF">
          <v:rect id="_x0000_s1061" style="position:absolute;left:0;text-align:left;margin-left:39.75pt;margin-top:697.7pt;width:197.35pt;height:80.65pt;z-index:251672576;mso-wrap-distance-left:2.88pt;mso-wrap-distance-top:2.88pt;mso-wrap-distance-right:2.88pt;mso-wrap-distance-bottom:2.88pt;mso-position-horizontal-relative:text;mso-position-vertical-relative:text" o:preferrelative="t" filled="f" stroked="f" strokeweight="2pt" o:cliptowrap="t">
            <v:imagedata r:id="rId8" o:title="ShowImage[2]"/>
            <v:shadow color="#eeece1"/>
            <o:extrusion v:ext="view" backdepth="0" viewpoint="0,0" viewpointorigin="0,0"/>
            <o:lock v:ext="edit" aspectratio="t"/>
          </v:rect>
        </w:pict>
      </w:r>
      <w:r w:rsidR="005C1271">
        <w:rPr>
          <w:rFonts w:ascii="Times New Roman" w:hAnsi="Times New Roman"/>
          <w:color w:val="auto"/>
          <w:kern w:val="0"/>
          <w:sz w:val="24"/>
          <w:szCs w:val="24"/>
        </w:rPr>
        <w:pict w14:anchorId="5B2A5D64">
          <v:rect id="_x0000_s1062" style="position:absolute;left:0;text-align:left;margin-left:39.75pt;margin-top:697.7pt;width:197.35pt;height:80.65pt;z-index:251674624;mso-wrap-distance-left:2.88pt;mso-wrap-distance-top:2.88pt;mso-wrap-distance-right:2.88pt;mso-wrap-distance-bottom:2.88pt;mso-position-horizontal-relative:text;mso-position-vertical-relative:text" o:preferrelative="t" filled="f" stroked="f" strokeweight="2pt" o:cliptowrap="t">
            <v:imagedata r:id="rId8" o:title="ShowImage[2]"/>
            <v:shadow color="#eeece1"/>
            <o:extrusion v:ext="view" backdepth="0" viewpoint="0,0" viewpointorigin="0,0"/>
            <o:lock v:ext="edit" aspectratio="t"/>
          </v:rect>
        </w:pict>
      </w:r>
    </w:p>
    <w:p w14:paraId="64525E2E" w14:textId="46F3FB41" w:rsidR="00317514" w:rsidRDefault="00317514">
      <w:pPr>
        <w:ind w:left="-360"/>
        <w:rPr>
          <w:rFonts w:cstheme="minorBidi"/>
          <w:color w:val="auto"/>
          <w:kern w:val="0"/>
          <w:sz w:val="24"/>
          <w:szCs w:val="24"/>
        </w:rPr>
      </w:pPr>
    </w:p>
    <w:p w14:paraId="18FABFB6" w14:textId="66996D73" w:rsidR="00317514" w:rsidRDefault="00317514">
      <w:pPr>
        <w:ind w:left="-360"/>
        <w:rPr>
          <w:rFonts w:cstheme="minorBidi"/>
          <w:color w:val="auto"/>
          <w:kern w:val="0"/>
          <w:sz w:val="24"/>
          <w:szCs w:val="24"/>
        </w:rPr>
      </w:pPr>
    </w:p>
    <w:p w14:paraId="2708C7CB" w14:textId="16E5899F" w:rsidR="00317514" w:rsidRDefault="00317514">
      <w:pPr>
        <w:ind w:left="-360"/>
        <w:rPr>
          <w:rFonts w:cstheme="minorBidi"/>
          <w:color w:val="auto"/>
          <w:kern w:val="0"/>
          <w:sz w:val="24"/>
          <w:szCs w:val="24"/>
        </w:rPr>
      </w:pPr>
    </w:p>
    <w:p w14:paraId="7EDD4830" w14:textId="0A2758D2" w:rsidR="00317514" w:rsidRDefault="00317514">
      <w:pPr>
        <w:ind w:left="-360"/>
        <w:rPr>
          <w:rFonts w:cstheme="minorBidi"/>
          <w:color w:val="auto"/>
          <w:kern w:val="0"/>
          <w:sz w:val="24"/>
          <w:szCs w:val="24"/>
        </w:rPr>
      </w:pPr>
    </w:p>
    <w:p w14:paraId="22871BAD" w14:textId="343D75D8" w:rsidR="00317514" w:rsidRDefault="00317514">
      <w:pPr>
        <w:ind w:left="-360"/>
        <w:rPr>
          <w:rFonts w:cstheme="minorBidi"/>
          <w:color w:val="auto"/>
          <w:kern w:val="0"/>
          <w:sz w:val="24"/>
          <w:szCs w:val="24"/>
        </w:rPr>
      </w:pPr>
    </w:p>
    <w:p w14:paraId="34DEA993" w14:textId="5D1C3887" w:rsidR="00317514" w:rsidRDefault="00317514">
      <w:pPr>
        <w:ind w:left="-360"/>
        <w:rPr>
          <w:rFonts w:cstheme="minorBidi"/>
          <w:color w:val="auto"/>
          <w:kern w:val="0"/>
          <w:sz w:val="24"/>
          <w:szCs w:val="24"/>
        </w:rPr>
      </w:pPr>
    </w:p>
    <w:p w14:paraId="1EB181DD" w14:textId="1ACFC791" w:rsidR="00317514" w:rsidRDefault="00317514">
      <w:pPr>
        <w:ind w:left="-360"/>
        <w:rPr>
          <w:rFonts w:cstheme="minorBidi"/>
          <w:color w:val="auto"/>
          <w:kern w:val="0"/>
          <w:sz w:val="24"/>
          <w:szCs w:val="24"/>
        </w:rPr>
      </w:pPr>
    </w:p>
    <w:p w14:paraId="3027B5B5" w14:textId="7E72A4C9" w:rsidR="00317514" w:rsidRDefault="00317514">
      <w:pPr>
        <w:ind w:left="-360"/>
        <w:rPr>
          <w:rFonts w:cstheme="minorBidi"/>
          <w:color w:val="auto"/>
          <w:kern w:val="0"/>
          <w:sz w:val="24"/>
          <w:szCs w:val="24"/>
        </w:rPr>
      </w:pPr>
    </w:p>
    <w:p w14:paraId="0F28B087" w14:textId="2708E81D" w:rsidR="00317514" w:rsidRDefault="00317514">
      <w:pPr>
        <w:ind w:left="-360"/>
        <w:rPr>
          <w:rFonts w:cstheme="minorBidi"/>
          <w:color w:val="auto"/>
          <w:kern w:val="0"/>
          <w:sz w:val="24"/>
          <w:szCs w:val="24"/>
        </w:rPr>
      </w:pPr>
    </w:p>
    <w:p w14:paraId="1BBD5570" w14:textId="4983664E" w:rsidR="00317514" w:rsidRDefault="00317514">
      <w:pPr>
        <w:ind w:left="-360"/>
        <w:rPr>
          <w:rFonts w:cstheme="minorBidi"/>
          <w:color w:val="auto"/>
          <w:kern w:val="0"/>
          <w:sz w:val="24"/>
          <w:szCs w:val="24"/>
        </w:rPr>
      </w:pPr>
    </w:p>
    <w:p w14:paraId="50F89627" w14:textId="6BA52B82" w:rsidR="00317514" w:rsidRDefault="00317514">
      <w:pPr>
        <w:ind w:left="-360"/>
        <w:rPr>
          <w:rFonts w:cstheme="minorBidi"/>
          <w:color w:val="auto"/>
          <w:kern w:val="0"/>
          <w:sz w:val="24"/>
          <w:szCs w:val="24"/>
        </w:rPr>
      </w:pPr>
    </w:p>
    <w:p w14:paraId="3A831629" w14:textId="51F5E727" w:rsidR="00317514" w:rsidRDefault="00317514">
      <w:pPr>
        <w:ind w:left="-360"/>
        <w:rPr>
          <w:rFonts w:cstheme="minorBidi"/>
          <w:color w:val="auto"/>
          <w:kern w:val="0"/>
          <w:sz w:val="24"/>
          <w:szCs w:val="24"/>
        </w:rPr>
      </w:pPr>
    </w:p>
    <w:p w14:paraId="61B1AF36" w14:textId="789BA7F8" w:rsidR="00317514" w:rsidRDefault="00317514">
      <w:pPr>
        <w:ind w:left="-360"/>
        <w:rPr>
          <w:rFonts w:cstheme="minorBidi"/>
          <w:color w:val="auto"/>
          <w:kern w:val="0"/>
          <w:sz w:val="24"/>
          <w:szCs w:val="24"/>
        </w:rPr>
      </w:pPr>
    </w:p>
    <w:p w14:paraId="0687D0E1" w14:textId="77777777" w:rsidR="00317514" w:rsidRDefault="00317514">
      <w:pPr>
        <w:ind w:left="-360"/>
        <w:rPr>
          <w:rFonts w:cstheme="minorBidi"/>
          <w:color w:val="auto"/>
          <w:kern w:val="0"/>
          <w:sz w:val="24"/>
          <w:szCs w:val="24"/>
        </w:rPr>
      </w:pPr>
    </w:p>
    <w:sectPr w:rsidR="00317514" w:rsidSect="00C134CD">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25DCE"/>
    <w:multiLevelType w:val="hybridMultilevel"/>
    <w:tmpl w:val="E14E2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134CD"/>
    <w:rsid w:val="000375DC"/>
    <w:rsid w:val="00125366"/>
    <w:rsid w:val="00220EA9"/>
    <w:rsid w:val="00317514"/>
    <w:rsid w:val="003F165F"/>
    <w:rsid w:val="005035BA"/>
    <w:rsid w:val="00551D01"/>
    <w:rsid w:val="005C1271"/>
    <w:rsid w:val="005C339E"/>
    <w:rsid w:val="007505C9"/>
    <w:rsid w:val="0077259A"/>
    <w:rsid w:val="00C134CD"/>
    <w:rsid w:val="00C87C12"/>
    <w:rsid w:val="00D03E15"/>
    <w:rsid w:val="00D9609D"/>
    <w:rsid w:val="00DA43C7"/>
    <w:rsid w:val="00EC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ocId w14:val="13B6CBC6"/>
  <w14:defaultImageDpi w14:val="0"/>
  <w15:docId w15:val="{F1C7BA72-C7ED-4AE6-9D61-675EAEEE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D03E15"/>
    <w:pPr>
      <w:spacing w:after="120" w:line="264" w:lineRule="auto"/>
    </w:pPr>
    <w:rPr>
      <w:rFonts w:ascii="Calibri" w:eastAsia="Times New Roman" w:hAnsi="Calibri" w:cs="Times New Roman"/>
      <w:color w:val="000000"/>
      <w:kern w:val="28"/>
      <w:sz w:val="20"/>
      <w:szCs w:val="20"/>
    </w:rPr>
  </w:style>
  <w:style w:type="character" w:customStyle="1" w:styleId="BodyTextChar">
    <w:name w:val="Body Text Char"/>
    <w:basedOn w:val="DefaultParagraphFont"/>
    <w:link w:val="BodyText"/>
    <w:uiPriority w:val="99"/>
    <w:rsid w:val="00D03E15"/>
    <w:rPr>
      <w:rFonts w:ascii="Calibri" w:eastAsia="Times New Roman" w:hAnsi="Calibri" w:cs="Times New Roman"/>
      <w:color w:val="000000"/>
      <w:kern w:val="28"/>
      <w:sz w:val="20"/>
      <w:szCs w:val="20"/>
    </w:rPr>
  </w:style>
  <w:style w:type="character" w:styleId="Hyperlink">
    <w:name w:val="Hyperlink"/>
    <w:uiPriority w:val="99"/>
    <w:semiHidden/>
    <w:unhideWhenUsed/>
    <w:rsid w:val="00D03E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14534">
      <w:bodyDiv w:val="1"/>
      <w:marLeft w:val="0"/>
      <w:marRight w:val="0"/>
      <w:marTop w:val="0"/>
      <w:marBottom w:val="0"/>
      <w:divBdr>
        <w:top w:val="none" w:sz="0" w:space="0" w:color="auto"/>
        <w:left w:val="none" w:sz="0" w:space="0" w:color="auto"/>
        <w:bottom w:val="none" w:sz="0" w:space="0" w:color="auto"/>
        <w:right w:val="none" w:sz="0" w:space="0" w:color="auto"/>
      </w:divBdr>
    </w:div>
    <w:div w:id="403726335">
      <w:bodyDiv w:val="1"/>
      <w:marLeft w:val="0"/>
      <w:marRight w:val="0"/>
      <w:marTop w:val="0"/>
      <w:marBottom w:val="0"/>
      <w:divBdr>
        <w:top w:val="none" w:sz="0" w:space="0" w:color="auto"/>
        <w:left w:val="none" w:sz="0" w:space="0" w:color="auto"/>
        <w:bottom w:val="none" w:sz="0" w:space="0" w:color="auto"/>
        <w:right w:val="none" w:sz="0" w:space="0" w:color="auto"/>
      </w:divBdr>
    </w:div>
    <w:div w:id="526984730">
      <w:bodyDiv w:val="1"/>
      <w:marLeft w:val="0"/>
      <w:marRight w:val="0"/>
      <w:marTop w:val="0"/>
      <w:marBottom w:val="0"/>
      <w:divBdr>
        <w:top w:val="none" w:sz="0" w:space="0" w:color="auto"/>
        <w:left w:val="none" w:sz="0" w:space="0" w:color="auto"/>
        <w:bottom w:val="none" w:sz="0" w:space="0" w:color="auto"/>
        <w:right w:val="none" w:sz="0" w:space="0" w:color="auto"/>
      </w:divBdr>
    </w:div>
    <w:div w:id="1053429111">
      <w:bodyDiv w:val="1"/>
      <w:marLeft w:val="0"/>
      <w:marRight w:val="0"/>
      <w:marTop w:val="0"/>
      <w:marBottom w:val="0"/>
      <w:divBdr>
        <w:top w:val="none" w:sz="0" w:space="0" w:color="auto"/>
        <w:left w:val="none" w:sz="0" w:space="0" w:color="auto"/>
        <w:bottom w:val="none" w:sz="0" w:space="0" w:color="auto"/>
        <w:right w:val="none" w:sz="0" w:space="0" w:color="auto"/>
      </w:divBdr>
    </w:div>
    <w:div w:id="1175147574">
      <w:bodyDiv w:val="1"/>
      <w:marLeft w:val="0"/>
      <w:marRight w:val="0"/>
      <w:marTop w:val="0"/>
      <w:marBottom w:val="0"/>
      <w:divBdr>
        <w:top w:val="none" w:sz="0" w:space="0" w:color="auto"/>
        <w:left w:val="none" w:sz="0" w:space="0" w:color="auto"/>
        <w:bottom w:val="none" w:sz="0" w:space="0" w:color="auto"/>
        <w:right w:val="none" w:sz="0" w:space="0" w:color="auto"/>
      </w:divBdr>
    </w:div>
    <w:div w:id="1376271196">
      <w:bodyDiv w:val="1"/>
      <w:marLeft w:val="0"/>
      <w:marRight w:val="0"/>
      <w:marTop w:val="0"/>
      <w:marBottom w:val="0"/>
      <w:divBdr>
        <w:top w:val="none" w:sz="0" w:space="0" w:color="auto"/>
        <w:left w:val="none" w:sz="0" w:space="0" w:color="auto"/>
        <w:bottom w:val="none" w:sz="0" w:space="0" w:color="auto"/>
        <w:right w:val="none" w:sz="0" w:space="0" w:color="auto"/>
      </w:divBdr>
    </w:div>
    <w:div w:id="1460146560">
      <w:bodyDiv w:val="1"/>
      <w:marLeft w:val="0"/>
      <w:marRight w:val="0"/>
      <w:marTop w:val="0"/>
      <w:marBottom w:val="0"/>
      <w:divBdr>
        <w:top w:val="none" w:sz="0" w:space="0" w:color="auto"/>
        <w:left w:val="none" w:sz="0" w:space="0" w:color="auto"/>
        <w:bottom w:val="none" w:sz="0" w:space="0" w:color="auto"/>
        <w:right w:val="none" w:sz="0" w:space="0" w:color="auto"/>
      </w:divBdr>
    </w:div>
    <w:div w:id="1494564409">
      <w:bodyDiv w:val="1"/>
      <w:marLeft w:val="0"/>
      <w:marRight w:val="0"/>
      <w:marTop w:val="0"/>
      <w:marBottom w:val="0"/>
      <w:divBdr>
        <w:top w:val="none" w:sz="0" w:space="0" w:color="auto"/>
        <w:left w:val="none" w:sz="0" w:space="0" w:color="auto"/>
        <w:bottom w:val="none" w:sz="0" w:space="0" w:color="auto"/>
        <w:right w:val="none" w:sz="0" w:space="0" w:color="auto"/>
      </w:divBdr>
    </w:div>
    <w:div w:id="1754206108">
      <w:bodyDiv w:val="1"/>
      <w:marLeft w:val="0"/>
      <w:marRight w:val="0"/>
      <w:marTop w:val="0"/>
      <w:marBottom w:val="0"/>
      <w:divBdr>
        <w:top w:val="none" w:sz="0" w:space="0" w:color="auto"/>
        <w:left w:val="none" w:sz="0" w:space="0" w:color="auto"/>
        <w:bottom w:val="none" w:sz="0" w:space="0" w:color="auto"/>
        <w:right w:val="none" w:sz="0" w:space="0" w:color="auto"/>
      </w:divBdr>
    </w:div>
    <w:div w:id="1806003020">
      <w:bodyDiv w:val="1"/>
      <w:marLeft w:val="0"/>
      <w:marRight w:val="0"/>
      <w:marTop w:val="0"/>
      <w:marBottom w:val="0"/>
      <w:divBdr>
        <w:top w:val="none" w:sz="0" w:space="0" w:color="auto"/>
        <w:left w:val="none" w:sz="0" w:space="0" w:color="auto"/>
        <w:bottom w:val="none" w:sz="0" w:space="0" w:color="auto"/>
        <w:right w:val="none" w:sz="0" w:space="0" w:color="auto"/>
      </w:divBdr>
    </w:div>
    <w:div w:id="203976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y.tempe.gov/psc/apply/EMPLOYEE/HRMS/c/HRS_HRAM_FL.HRS_CG_SEARCH_FL.GBL?&amp;FOCUS=Applicant&amp;"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Cross, Lisa</cp:lastModifiedBy>
  <cp:revision>11</cp:revision>
  <dcterms:created xsi:type="dcterms:W3CDTF">2020-07-29T16:43:00Z</dcterms:created>
  <dcterms:modified xsi:type="dcterms:W3CDTF">2020-07-29T20:54:00Z</dcterms:modified>
</cp:coreProperties>
</file>